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CA483" w14:textId="77777777" w:rsid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A3B292C" w14:textId="44C7245E" w:rsidR="00A3792B" w:rsidRPr="00A3792B" w:rsidRDefault="00A3792B" w:rsidP="007B709C">
      <w:pPr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510163264-N-2020 z dnia 31-08-2020 r. Komenda Wojewódzka Policji: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Sukcesywne dostawy do Komendy Wojewódzkiej Policji w Olsztynie akcesoriów samochodowych, płynów do spryskiwaczy, materiałów eksploatacyjnych do obsługi klimatyzacji samochodowych, części do motocykli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Triumph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oraz części do quadów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Polaris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br/>
        <w:t>OGŁOSZENIE O UDZIELENIU ZAMÓWIENIA - Dostawy</w:t>
      </w:r>
    </w:p>
    <w:p w14:paraId="6AA73E2B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2D08F8E0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14:paraId="4C406983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E1CB302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14:paraId="0E0C4D90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09084E21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14:paraId="1EAA0009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AD02E03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555151-N-2020 </w:t>
      </w:r>
    </w:p>
    <w:p w14:paraId="1F8213A4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C383971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14:paraId="74008D19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31EB3F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A1AB0C6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CFC4A17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14:paraId="45B303A3" w14:textId="544B1F41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Komenda Wojewódzka Policji, Krajowy numer identyfikacyjny 51006478400000, ul. ul. Partyzantów  42529,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10-521  Olsztyn, woj. warmińsko-mazurskie, państwo Polska, tel. 089 5225200, 5225760, e-mail zamowienia@ol.policja.gov.pl, faks 895 225 205. 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): www.warminsko-mazurska.policja.gov.pl 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strony internetowej, pod którym można uzyskać dostęp do narzędzi i urządzeń lub formatów plików,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które nie są ogólnie dostępne: 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www.warminsko-mazurska.policja.gov.pl </w:t>
      </w:r>
    </w:p>
    <w:p w14:paraId="7F9F4F4A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DB1CA3D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>Administracja rządowa terenowa</w:t>
      </w:r>
    </w:p>
    <w:p w14:paraId="48A83F7B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14:paraId="799829CC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14:paraId="5D886853" w14:textId="60FAEE3B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Sukcesywne dostawy do Komendy Wojewódzkiej Policji w Olsztynie akcesoriów samochodowych, płynów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do spryskiwaczy, materiałów eksploatacyjnych do obsługi klimatyzacji samochodowych, części do motocykli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Triumph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oraz części do quadów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Polaris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51723AC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A3792B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C0706C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Z-t-P/14/2020 </w:t>
      </w:r>
    </w:p>
    <w:p w14:paraId="38A5D180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C62F57D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14:paraId="0B709C06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A3792B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A1E3CF6" w14:textId="496BCEFD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1.Przedmiot zamówienia został podzielony na 5 zadań częściowych: Zadanie Nr 1 – sukcesywne dostawy akcesoriów samochodowych, Zadanie Nr 2 - sukcesywne dostawy płynów do spryskiwaczy, Zadanie Nr 3 - sukcesywne dostawy materiałów eksploatacyjnych do obsługi klimatyzacji samochodowych, Zadanie Nr 4 - sukcesywne dostawy części zamiennych do motocykli marki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Triumph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, Zadanie Nr 5 - sukcesywne dostawy części zamiennych do quadów marki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Polaris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. 2. Wymagane jest, aby akcesoria samochodowe (zadanie nr 1) były fabrycznie nowe, wyprodukowane w okresie do 12 miesięcy od daty dostawy. 2.1. Wymagane jest, aby asortyment ujęty w poz. od 1 do 27 spełniał wymagania niezbędne do dopuszczenia ich do zastosowania zgodnie z przeznaczeniem oraz posiadał odpowiednie oznaczenia, w tym wymagania określone w regulaminie nr 37 Europejskiej Komisji Gospodarczej Organizacji Narodów Zjednoczonych z dnia 13 listopada 2010 r. (Dz. U. UE. L. 2010.297.1). Ponadto powyższy asortyment powinien być wyprodukowany przez firmę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Tunsgram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, Osram,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Narva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, Bosch,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Hella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, Magneti Marelli lub Philips. Wszelkie zaostrzenia kryteriów mają za zadanie najtrafniejszy dobór właściwych akcesoriów samochodowych do pojazdów służbowych Policji, których eksploatacja w sposób znaczny odbiega od normalnej eksploatacji i nie ma na celu ograniczenia konkurencji lub innych postanowień zawartych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w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. 2.2. Wymagane jest dostarczenie w formie pisemnej aktualnej Karty Charakterystyki Produktu Niebezpiecznego wraz z pierwszą dostawą wszelkich substancji i preparatów niebezpiecznych. 3. Wymagane jest, aby płyny do spryskiwaczy (zadanie nr 2) były dostarczane w oryginalnych opakowaniach producenta, szczelnie zamkniętych i zabezpieczonych przed ewentualnym wyciekiem, o pojemnościach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opako-wań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określonych w Formularzu cenowym dla zadania nr 2. Na opakowaniu lub etykiecie powinny znajdować się w szczególności informacje dot. nazwy produktu, nazwy producenta, pojemność oraz data przydatności do użycia. 3.1. Wymagane jest, aby dostarczony asortyment zawierał metanol w stężeniu do 3 % wagowych na podstawie Rozporządzenia Ministra Gospodarki z dnia 29 stycznia 2013 r. w sprawie ograniczeń produkcji, obrotu lub stosowania substancji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i mieszanin niebezpiecznych lub stwarzających zagrożenie oraz wprowadzania do obrotu lub stosowania wyrobów zawierających takie substancje lub mieszaniny (tj. Dz. U. z 2019 r., poz. 1226). 3.2. Dostarczone płyny do spryskiwaczy powinny być zapachowe (przyjemny, nie drażniący), letnie i zimowe (do minus 22 stopni Celsjusza), obojętne dla powłok lakierniczych, uszczelek gumowych i wycieraczek. 3.3. Termin przydatności płynów do spryskiwaczy nie powinien być krótszy niż 12 miesięcy od daty dostawy. 3.4. Wymagane jest dostarczenie w formie pisemnej aktualnej Karty Charakterystyki Produktu Niebezpiecznego wraz z pierwszą dostawą wszelkich substancji i preparatów niebezpiecznych. 3.5. Wykonawca zobowiązany jest okazać na żądanie Zamawiającego aprobaty, atest lub certyfikaty, o ile taki jest wymagany przez obowiązujące przepisy prawa. 4. Wymagane jest, aby materiały eksploatacyjne do obsługi klimatyzacji samochodowych (zadanie nr 3) były dostarczane w szczelnie zamkniętych pojemnikach i transportowane we właściwy sposób z czytelnym oznaczeniem na opakowaniu ilości substancji/czynnika chłodniczego oraz jego nazwą 4.1. Wymagane jest, aby do każdej dostarczonej butli z czynnikiem chłodniczym, trwale zabezpieczonej plombą, niezbędny jest dokument poświadczający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wage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netto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w kg dostarczonego w butli czynnika. 4.2. Wszelkie koszty związane z dostawą oraz ewentualnym uszkodzeniem dostarczanych produktów ponosi dostawca. 4.3. Zamawiający dokona zapłaty faktury w terminie 30 dni od daty odbioru nieuszkodzonego produktu, na podstawie pisemnego pokwitowania przez magazyniera w obecności dostawcy. 4.4. Zamawiający dokona zwrotu pustych butli po czynniku chłodniczym w ciągu 3 tygodni od daty dostawy. Zarówno dostawa jak i zwrot pustych butli nastąpi na koszt Wykonawcy bez pobierania kaucji.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4.5. Wymagane jest dostarczenie w formie pisemnej aktualnej Karty Charakterystyki Produktu Niebezpiecznego wraz z pierwszą dostawą wszelkich substancji i preparatów niebezpiecznych. 5. Wymagane jest, aby części zamienne będące przedmiotem zamówienia w zadaniu nr 4-5 były dostarczane fabrycznie nowe i kompletne, oryginalne lub alternatywne i były zgodne z Rozporządzeniem Komisji (UE) nr 461/2010 z dnia 27 maja 2010 r.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w sprawie stosowania art. 101 ust. 3 Traktatu o funkcjonowaniu Unii Europejskiej do kategorii porozumień wertykalnych i praktyk uzgodnionych w sektorze pojazdów silnikowych. Części zamienne - związane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z bezpieczeństwem użytkowania pojazdów i ochroną środowiska mogą być montowane w pojazdach, jeżeli spełniony jest co najmniej jeden z następujących warunków: - oznakowane są znakami homologacji międzynarodowej stosowanymi w homologacji Europejskiej Komisji Gospodarczej Organizacji Narodów Zjednoczonych (EKG ONZ) - "E" lub Unii Europejskiej -"e", - oznakowane są cechami producenta pojazdu,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na który wystawiono krajowe świadectwo homologacji typu pojazdu; ocechowanie to powinno być zgłoszone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do upoważnionej jednostki celem ewidencji, - oznakowane są znakiem zgodności zgodnie z przepisami o systemie oceny zgodności i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akredytacji,przepisu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nie stosuje się do przedmiotów wyposażenia i części oznakowanych znakiem bezpieczeństwa na podstawie dotychczasowych przepisów o badaniach i certyfikacji, - wykaz części związanych z bezpieczeństwem użytkowania pojazdu i ochroną środowiska podlegających sprawdzeniu w tym zakresie przez jednostki akredytowane w polskim systemie akredytacji określa załącznik nr 3 do Rozporządzenia Ministra Infrastruktury z dnia 31 grudnia 2002 r. w sprawie warunków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tech-nicznych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pojazdów oraz zakresu ich niezbędnego wyposażenia (tj. Dz. U. z 2019 r., poz. 2022), - przedmioty wyposażenia i części objęte obowiązkiem homologacji typu określone są w przepisach o homologacji pojazdów. 5.1. Części zamienne oryginalne wprowadzone na rynek przez Producenta pojazdu winny być zapakowane w opakowania koncernu samochodowego z trwałym oznaczeniem jego logo, a wprowadzone na rynek przez producenta części winny być zapakowane w opakowania tego producenta. 5.2 Wykonawca udzieli Zamawiającemu na dostarczone towary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12 miesięcznej gwarancji, lecz nie krótszej niż gwarancja udzielona przez producenta, licząc od dnia dostarczenia towaru Zamawiającemu. 5.3 Na części, dla których producent nie określa terminu gwarancji, odpowiedzialność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za jakość dostarczonego towaru przejmuje Wykonawca przez okres 12 miesięcy od daty dostawy do Zamawiającego. 5.4 Wykonawca zobowiązany jest okazać na żądanie Zamawiającego aprobatę, atest lub certyfikat, o ile taki jest wymagany przez obowiązujące przepisy prawa. Wykonawca gwarantuje, że wszedł </w:t>
      </w:r>
      <w:r w:rsidR="007B709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w posiadanie towaru stanowiącego przedmiot umowy ponosząc z tego tytułu wszelkie opłaty przewidziane prawem. 6. Wykonawca zobowiązany jest podać w swojej ofercie producenta oferowanych produktów. </w:t>
      </w:r>
    </w:p>
    <w:p w14:paraId="75159EB4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9764A9D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</w:p>
    <w:p w14:paraId="2A19402E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34300000-0</w:t>
      </w:r>
    </w:p>
    <w:p w14:paraId="25BFE1B4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D428AAF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39831500-1 </w:t>
      </w:r>
    </w:p>
    <w:p w14:paraId="0CCF42AE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14:paraId="063DBE4B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14:paraId="09B9F5C0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14:paraId="3E158A90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14:paraId="5B71788C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14:paraId="2B2A8294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14:paraId="18E03AF0" w14:textId="47F09913" w:rsid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p w14:paraId="742D4D95" w14:textId="09064B9D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18F6A86" w14:textId="05F68221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CEAF198" w14:textId="5D95200B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CFB4081" w14:textId="77777777" w:rsidR="00026B32" w:rsidRDefault="00026B32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14:paraId="7C91F5D8" w14:textId="77777777" w:rsidR="007B709C" w:rsidRPr="00A3792B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3792B" w:rsidRPr="00A3792B" w14:paraId="3708B995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1D47D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1181AE4F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A3792B" w:rsidRPr="00A3792B" w14:paraId="5BF342D3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45B66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792B" w:rsidRPr="00A3792B" w14:paraId="0EB96B2B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792A3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06/08/2020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0A145F7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52390.24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złoty </w:t>
            </w:r>
          </w:p>
          <w:p w14:paraId="6605EAE5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C114F0D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F1262DE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4F679A84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49F98D0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F1F2CF0" w14:textId="3A1452F7" w:rsidR="00A3792B" w:rsidRDefault="007B709C" w:rsidP="007B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A3792B"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</w:p>
          <w:p w14:paraId="697B3945" w14:textId="77777777" w:rsidR="007B709C" w:rsidRPr="00A3792B" w:rsidRDefault="007B709C" w:rsidP="007B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0BB426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ARMAPOL Sp. z.o.o.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Chwaszczyńska</w:t>
            </w:r>
            <w:proofErr w:type="spellEnd"/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190B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81-571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Gdynia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E0B0228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75E5EAB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A62B16B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73D33E9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1FD238D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7498AA7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B58E583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49143.30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42547.40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49143.30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złoty </w:t>
            </w:r>
          </w:p>
          <w:p w14:paraId="0C6998F3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A1D6B42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01C1508" w14:textId="38BFA014" w:rsidR="00A3792B" w:rsidRPr="00A3792B" w:rsidRDefault="00A3792B" w:rsidP="007B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05F9A91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A5116D3" w14:textId="2A6CEAA5" w:rsid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F728B71" w14:textId="585C3D2D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5A3B9FE" w14:textId="55232C86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16FF60F" w14:textId="7F3F6E12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F6E9376" w14:textId="77777777" w:rsidR="007B709C" w:rsidRPr="00A3792B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3792B" w:rsidRPr="00A3792B" w14:paraId="4A172AC8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5A46D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6BE1A22B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A3792B" w:rsidRPr="00A3792B" w14:paraId="6F403280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10881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792B" w:rsidRPr="00A3792B" w14:paraId="295E4FA1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E393C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06/08/2020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4467974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30081.30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złoty </w:t>
            </w:r>
          </w:p>
          <w:p w14:paraId="5EAE3BFE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D406BD8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B761EE1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4D8B564F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57AF3DB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8EA0CA0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5F3178A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DAD290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Auto Land Polska S.A.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Leonharda 5a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10-454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ACCB873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ACD0153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5B8960F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5618D2C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A71B503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73A20BD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C06B4AB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24230.00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24230.00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31820.00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złoty </w:t>
            </w:r>
          </w:p>
          <w:p w14:paraId="284E054D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42E1424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25D3BDC" w14:textId="101BF781" w:rsidR="00A3792B" w:rsidRPr="00A3792B" w:rsidRDefault="00A3792B" w:rsidP="007B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DCE2B42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2221A65C" w14:textId="1BF2B6FA" w:rsid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962679E" w14:textId="5F2DE739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F0C52D7" w14:textId="16D2F9D8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6C79123" w14:textId="2117B200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5146C04" w14:textId="77777777" w:rsidR="007B709C" w:rsidRPr="00A3792B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3792B" w:rsidRPr="00A3792B" w14:paraId="69C21B62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7ED36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65542FFE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A3792B" w:rsidRPr="00A3792B" w14:paraId="07C4CD7A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15EF5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792B" w:rsidRPr="00A3792B" w14:paraId="20971A1A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B6716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06/08/2020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47E7F72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11024.39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złoty </w:t>
            </w:r>
          </w:p>
          <w:p w14:paraId="63EC2B0D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63C8E7A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C32C8B9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34B11FD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1FDD3E7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1B71936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84F13B8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B45148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INTER CARS S.A.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Powsińska 64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02-903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C9F3663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2F637EC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ACC4F45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B09F1B1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789F53C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291C1C8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CC3FE55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6977.19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6000.72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8684.46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złoty </w:t>
            </w:r>
          </w:p>
          <w:p w14:paraId="4600D334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8B340F1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96D8171" w14:textId="1B8089E8" w:rsidR="00A3792B" w:rsidRPr="00A3792B" w:rsidRDefault="00A3792B" w:rsidP="007B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90BB122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5FD12C7D" w14:textId="2D374274" w:rsid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BFD2652" w14:textId="79B3EAE2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646CACE" w14:textId="64DEE71F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655897F" w14:textId="2A88A2EE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6DF5D7A" w14:textId="77777777" w:rsidR="007B709C" w:rsidRPr="00A3792B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3792B" w:rsidRPr="00A3792B" w14:paraId="5BDB2D1F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49777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14:paraId="2353AB31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A3792B" w:rsidRPr="00A3792B" w14:paraId="0F8BE178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EF28E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792B" w:rsidRPr="00A3792B" w14:paraId="5C845FD7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56EB3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06/08/2020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C8472B0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24796.75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złoty </w:t>
            </w:r>
          </w:p>
          <w:p w14:paraId="6030A37A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4FC5B7B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204E678F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AE7A5AC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3CBB7B0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952ACAF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3B795EE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FFBBEE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P.H. MOTOZBYT Wojciech </w:t>
            </w:r>
            <w:proofErr w:type="spellStart"/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Macioch</w:t>
            </w:r>
            <w:proofErr w:type="spellEnd"/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Mazurska 16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10-510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1D96597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C1B1A50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26CD3B57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A6A4F00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B657709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E946B6A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EE97E7F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29598.00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29598.00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34168.93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złoty </w:t>
            </w:r>
          </w:p>
          <w:p w14:paraId="0EA6C8CC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F71FAEC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08F7630" w14:textId="5211E311" w:rsidR="00A3792B" w:rsidRPr="00A3792B" w:rsidRDefault="00A3792B" w:rsidP="007B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AB5D39F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5D5D9638" w14:textId="1340E389" w:rsid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B65C8E0" w14:textId="4AD80580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C57EE51" w14:textId="345E8C11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A303E92" w14:textId="17DD2B14" w:rsidR="007B709C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ACA4F0C" w14:textId="77777777" w:rsidR="007B709C" w:rsidRPr="00A3792B" w:rsidRDefault="007B709C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3792B" w:rsidRPr="00A3792B" w14:paraId="18E587C7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8B763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14:paraId="68803105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A3792B" w:rsidRPr="00A3792B" w14:paraId="03A70275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6938B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792B" w:rsidRPr="00A3792B" w14:paraId="5788EA7B" w14:textId="77777777" w:rsidTr="00A379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5F681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06/08/2020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A9E8EF4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18943.09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złoty </w:t>
            </w:r>
          </w:p>
          <w:p w14:paraId="4FDEE32F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4BE52EC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4800134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DBAD6B9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3CC3ED7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03387DD" w14:textId="5D73C145" w:rsidR="00A3792B" w:rsidRPr="00A3792B" w:rsidRDefault="00A3792B" w:rsidP="007B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3F00F91" w14:textId="5E863388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P.H. MOTOZBYT Wojciech </w:t>
            </w:r>
            <w:proofErr w:type="spellStart"/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Macioch</w:t>
            </w:r>
            <w:proofErr w:type="spellEnd"/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Mazurska 16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10-510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B91DEE8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6212AB9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170B6C7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C20B348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D8A9377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84832EB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4D6306C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23257.00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23257.00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28906.80 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złoty </w:t>
            </w:r>
          </w:p>
          <w:p w14:paraId="780C6AE9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F6E5805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C571A85" w14:textId="5E473C59" w:rsidR="00A3792B" w:rsidRPr="00A3792B" w:rsidRDefault="00A3792B" w:rsidP="007B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3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4A1355D" w14:textId="77777777" w:rsidR="00A3792B" w:rsidRPr="00A3792B" w:rsidRDefault="00A3792B" w:rsidP="00A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A984547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72509BD" w14:textId="6DE31CFD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14:paraId="42F37219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06D0C24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A3792B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14:paraId="42777980" w14:textId="77777777" w:rsidR="00A3792B" w:rsidRPr="00A3792B" w:rsidRDefault="00A3792B" w:rsidP="00A3792B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792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14:paraId="361ADBF6" w14:textId="7C7CF4B8" w:rsidR="00740D16" w:rsidRDefault="00A3792B" w:rsidP="00A3792B">
      <w:r w:rsidRPr="00A3792B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sectPr w:rsidR="0074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16"/>
    <w:rsid w:val="00026B32"/>
    <w:rsid w:val="00740D16"/>
    <w:rsid w:val="007B709C"/>
    <w:rsid w:val="00A3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3326"/>
  <w15:chartTrackingRefBased/>
  <w15:docId w15:val="{4D3153C7-66DB-4FB3-8E6F-4C8CC66F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37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2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5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2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1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4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8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90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3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1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8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5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5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9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9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2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4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0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2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5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67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3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9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3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3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8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3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2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6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3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2554</Words>
  <Characters>15327</Characters>
  <Application>Microsoft Office Word</Application>
  <DocSecurity>0</DocSecurity>
  <Lines>127</Lines>
  <Paragraphs>35</Paragraphs>
  <ScaleCrop>false</ScaleCrop>
  <Company>KGP</Company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4</cp:revision>
  <dcterms:created xsi:type="dcterms:W3CDTF">2020-08-31T07:14:00Z</dcterms:created>
  <dcterms:modified xsi:type="dcterms:W3CDTF">2020-08-31T07:20:00Z</dcterms:modified>
</cp:coreProperties>
</file>